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FD" w:rsidRPr="00D01DEA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Mobilní svozy NO – </w:t>
                            </w:r>
                            <w:r w:rsidR="00BC44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podzim</w:t>
                            </w:r>
                            <w:r w:rsidR="00555D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55D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D01D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OBEC</w:t>
                            </w:r>
                            <w:proofErr w:type="gramEnd"/>
                            <w:r w:rsidRPr="00D01D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71A6C">
                              <w:rPr>
                                <w:b/>
                                <w:sz w:val="28"/>
                                <w:szCs w:val="28"/>
                              </w:rPr>
                              <w:t>VOJKOVIC</w:t>
                            </w:r>
                            <w:r w:rsidR="00D01DEA" w:rsidRPr="00D01DEA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" fillcolor="white [3201]" strokeweight=".5pt">
                <v:textbox>
                  <w:txbxContent>
                    <w:p w:rsidR="006205FD" w:rsidRPr="00D01DEA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Mobilní svozy </w:t>
                      </w:r>
                      <w:bookmarkStart w:id="1" w:name="_GoBack"/>
                      <w:bookmarkEnd w:id="1"/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 – </w:t>
                      </w:r>
                      <w:r w:rsidR="00BC44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podzim</w:t>
                      </w:r>
                      <w:r w:rsidR="00555D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2020</w:t>
                      </w:r>
                      <w:r w:rsidRPr="00D01DEA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proofErr w:type="gramStart"/>
                      <w:r w:rsidRPr="00D01DEA">
                        <w:rPr>
                          <w:b/>
                          <w:sz w:val="28"/>
                          <w:szCs w:val="28"/>
                        </w:rPr>
                        <w:t xml:space="preserve">OBEC  </w:t>
                      </w:r>
                      <w:r w:rsidR="00371A6C">
                        <w:rPr>
                          <w:b/>
                          <w:sz w:val="28"/>
                          <w:szCs w:val="28"/>
                        </w:rPr>
                        <w:t>VOJKOVIC</w:t>
                      </w:r>
                      <w:r w:rsidR="00D01DEA" w:rsidRPr="00D01DEA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511FBF07" wp14:editId="248CED7D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9B" w:rsidRDefault="0040489B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D01DEA" w:rsidRDefault="00D01DE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Mobilní sběr </w:t>
      </w:r>
      <w:r w:rsidR="004C4F52"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nebezpečných odpadů </w:t>
      </w:r>
    </w:p>
    <w:p w:rsidR="004C4F52" w:rsidRDefault="004C4F52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</w:pPr>
    </w:p>
    <w:p w:rsidR="002A6065" w:rsidRDefault="004C4F52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 xml:space="preserve">Dne </w:t>
      </w:r>
      <w:r w:rsidR="0071437D">
        <w:rPr>
          <w:rFonts w:ascii="Arial" w:eastAsia="MS PGothic" w:hAnsi="Arial" w:cs="+mn-cs"/>
          <w:b/>
          <w:bCs/>
          <w:color w:val="000000"/>
          <w:lang w:eastAsia="cs-CZ"/>
        </w:rPr>
        <w:t>4.</w:t>
      </w:r>
      <w:r w:rsidR="00D16358">
        <w:rPr>
          <w:rFonts w:ascii="Arial" w:eastAsia="MS PGothic" w:hAnsi="Arial" w:cs="+mn-cs"/>
          <w:b/>
          <w:bCs/>
          <w:color w:val="000000"/>
          <w:lang w:eastAsia="cs-CZ"/>
        </w:rPr>
        <w:t xml:space="preserve"> </w:t>
      </w:r>
      <w:r w:rsidR="0071437D">
        <w:rPr>
          <w:rFonts w:ascii="Arial" w:eastAsia="MS PGothic" w:hAnsi="Arial" w:cs="+mn-cs"/>
          <w:b/>
          <w:bCs/>
          <w:color w:val="000000"/>
          <w:lang w:eastAsia="cs-CZ"/>
        </w:rPr>
        <w:t>listopadu</w:t>
      </w:r>
      <w:r w:rsidR="00D16358">
        <w:rPr>
          <w:rFonts w:ascii="Arial" w:eastAsia="MS PGothic" w:hAnsi="Arial" w:cs="+mn-cs"/>
          <w:b/>
          <w:bCs/>
          <w:color w:val="000000"/>
          <w:lang w:eastAsia="cs-CZ"/>
        </w:rPr>
        <w:t xml:space="preserve"> 2020</w:t>
      </w:r>
      <w:r w:rsidR="0071437D">
        <w:rPr>
          <w:rFonts w:ascii="Arial" w:eastAsia="MS PGothic" w:hAnsi="Arial" w:cs="+mn-cs"/>
          <w:b/>
          <w:bCs/>
          <w:color w:val="000000"/>
          <w:lang w:eastAsia="cs-CZ"/>
        </w:rPr>
        <w:t xml:space="preserve"> se v</w:t>
      </w:r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 xml:space="preserve"> naší obci </w:t>
      </w:r>
      <w:proofErr w:type="gramStart"/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>uskuteční</w:t>
      </w:r>
      <w:proofErr w:type="gramEnd"/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 xml:space="preserve"> mobilní sběr nebezpečných odpadů  Níže uvedený odpad </w:t>
      </w:r>
      <w:proofErr w:type="gramStart"/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>mohou</w:t>
      </w:r>
      <w:proofErr w:type="gramEnd"/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 xml:space="preserve"> občané, kteří mají řádně uhrazen poplatek za odpad za rok 20</w:t>
      </w:r>
      <w:r w:rsidR="00D16358">
        <w:rPr>
          <w:rFonts w:ascii="Arial" w:eastAsia="MS PGothic" w:hAnsi="Arial" w:cs="+mn-cs"/>
          <w:b/>
          <w:bCs/>
          <w:color w:val="000000"/>
          <w:lang w:eastAsia="cs-CZ"/>
        </w:rPr>
        <w:t>20</w:t>
      </w:r>
      <w:r w:rsidRPr="002A6065">
        <w:rPr>
          <w:rFonts w:ascii="Arial" w:eastAsia="MS PGothic" w:hAnsi="Arial" w:cs="+mn-cs"/>
          <w:b/>
          <w:bCs/>
          <w:color w:val="000000"/>
          <w:lang w:eastAsia="cs-CZ"/>
        </w:rPr>
        <w:t>, ukládat před sběrný dvůr pod dohledem obsluhy sběrného dvora a obsluhy mobilní sběrny</w:t>
      </w:r>
      <w:r w:rsidR="002A6065" w:rsidRPr="002A6065">
        <w:rPr>
          <w:rFonts w:ascii="Arial" w:eastAsia="MS PGothic" w:hAnsi="Arial" w:cs="+mn-cs"/>
          <w:b/>
          <w:bCs/>
          <w:color w:val="000000"/>
          <w:lang w:eastAsia="cs-CZ"/>
        </w:rPr>
        <w:t xml:space="preserve">, která bude přistavená na tomto místě </w:t>
      </w:r>
      <w:r w:rsidR="002A6065">
        <w:rPr>
          <w:rFonts w:ascii="Arial" w:eastAsia="MS PGothic" w:hAnsi="Arial" w:cs="+mn-cs"/>
          <w:b/>
          <w:bCs/>
          <w:color w:val="000000"/>
          <w:lang w:eastAsia="cs-CZ"/>
        </w:rPr>
        <w:t>v následující den a čas:</w:t>
      </w:r>
    </w:p>
    <w:p w:rsidR="002A6065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:rsidR="002A6065" w:rsidRPr="009C2683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V</w:t>
      </w:r>
      <w:r w:rsidR="0071437D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e</w:t>
      </w:r>
      <w:r w:rsidR="004D6CB2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</w:t>
      </w:r>
      <w:r w:rsidR="0071437D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středu</w:t>
      </w:r>
      <w:r w:rsidR="00D16358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</w:t>
      </w:r>
      <w:r w:rsidR="00BC444F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4</w:t>
      </w:r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. </w:t>
      </w:r>
      <w:r w:rsidR="00BC444F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listopadu</w:t>
      </w:r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</w:t>
      </w:r>
      <w:proofErr w:type="gramStart"/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20</w:t>
      </w:r>
      <w:r w:rsidR="00555D3B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20</w:t>
      </w:r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                      od</w:t>
      </w:r>
      <w:proofErr w:type="gramEnd"/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 1</w:t>
      </w:r>
      <w:r w:rsidR="00BC444F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6</w:t>
      </w:r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.00 hod. do 1</w:t>
      </w:r>
      <w:r w:rsidR="00BC444F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8</w:t>
      </w:r>
      <w:r w:rsidRPr="009C2683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.00 hod.</w:t>
      </w:r>
    </w:p>
    <w:p w:rsidR="002A6065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:rsidR="002A6065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lang w:eastAsia="cs-CZ"/>
        </w:rPr>
        <w:t>Budou odebírané následující odpady:</w:t>
      </w:r>
    </w:p>
    <w:p w:rsidR="0027240D" w:rsidRDefault="0027240D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921E0" w:rsidRPr="008921E0" w:rsidTr="0027240D"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bookmarkStart w:id="0" w:name="_GoBack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Snadno biologicky rozložitelné motorové, převodové a mazací oleje </w:t>
            </w:r>
          </w:p>
        </w:tc>
      </w:tr>
      <w:tr w:rsidR="008921E0" w:rsidRPr="008921E0" w:rsidTr="0027240D">
        <w:trPr>
          <w:trHeight w:val="367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Jiné motorové, převodové a mazací oleje </w:t>
            </w:r>
          </w:p>
        </w:tc>
      </w:tr>
      <w:tr w:rsidR="008921E0" w:rsidRPr="008921E0" w:rsidTr="0027240D"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Obaly obsahující zbytky nebezpečných látek nebo obaly těmito látkami znečištěné </w:t>
            </w:r>
          </w:p>
        </w:tc>
      </w:tr>
      <w:tr w:rsidR="008921E0" w:rsidRPr="008921E0" w:rsidTr="0027240D"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Absorpční činidla, filtrační materiály/včetně olejových filtrů jinak blíže neurčených/, čistící tkaniny a ochranné oděvy znečištěné nebezpečnými látkami</w:t>
            </w:r>
          </w:p>
        </w:tc>
      </w:tr>
      <w:tr w:rsidR="008921E0" w:rsidRPr="008921E0" w:rsidTr="0027240D">
        <w:trPr>
          <w:trHeight w:val="372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Pneumatiky </w:t>
            </w:r>
          </w:p>
        </w:tc>
      </w:tr>
      <w:tr w:rsidR="008921E0" w:rsidRPr="008921E0" w:rsidTr="0027240D">
        <w:trPr>
          <w:trHeight w:val="308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Brzdové kapaliny</w:t>
            </w:r>
          </w:p>
        </w:tc>
      </w:tr>
      <w:tr w:rsidR="008921E0" w:rsidRPr="008921E0" w:rsidTr="0027240D">
        <w:trPr>
          <w:trHeight w:val="425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Nemrznoucí kapaliny obsahující nebezpečné látky (např. </w:t>
            </w:r>
            <w:proofErr w:type="spellStart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Fridex</w:t>
            </w:r>
            <w:proofErr w:type="spellEnd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)</w:t>
            </w:r>
          </w:p>
        </w:tc>
      </w:tr>
      <w:tr w:rsidR="008921E0" w:rsidRPr="008921E0" w:rsidTr="0027240D">
        <w:trPr>
          <w:trHeight w:val="460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Olověné akumulátory</w:t>
            </w:r>
          </w:p>
        </w:tc>
      </w:tr>
      <w:tr w:rsidR="008921E0" w:rsidRPr="008921E0" w:rsidTr="0027240D">
        <w:trPr>
          <w:trHeight w:val="408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lastRenderedPageBreak/>
              <w:t>Rozpouštědla</w:t>
            </w:r>
          </w:p>
        </w:tc>
      </w:tr>
      <w:tr w:rsidR="008921E0" w:rsidRPr="008921E0" w:rsidTr="0027240D">
        <w:trPr>
          <w:trHeight w:val="408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Kyseliny</w:t>
            </w:r>
          </w:p>
        </w:tc>
      </w:tr>
      <w:tr w:rsidR="008921E0" w:rsidRPr="008921E0" w:rsidTr="0027240D">
        <w:trPr>
          <w:trHeight w:val="408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Pesticidy (zbytky prostředků na ochranu rostlin)</w:t>
            </w:r>
          </w:p>
        </w:tc>
      </w:tr>
      <w:tr w:rsidR="008921E0" w:rsidRPr="008921E0" w:rsidTr="0027240D">
        <w:trPr>
          <w:trHeight w:val="425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Barvy, tiskařské barvy, lepidla a pryskyřice obsahující nebezpečné látky</w:t>
            </w:r>
          </w:p>
        </w:tc>
      </w:tr>
      <w:tr w:rsidR="008921E0" w:rsidRPr="008921E0" w:rsidTr="0027240D">
        <w:trPr>
          <w:trHeight w:val="402"/>
        </w:trPr>
        <w:tc>
          <w:tcPr>
            <w:tcW w:w="9468" w:type="dxa"/>
            <w:vAlign w:val="center"/>
          </w:tcPr>
          <w:p w:rsidR="008921E0" w:rsidRPr="008921E0" w:rsidRDefault="008921E0" w:rsidP="008921E0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Nepoužitelná léčiva (a léky)</w:t>
            </w:r>
          </w:p>
        </w:tc>
      </w:tr>
      <w:bookmarkEnd w:id="0"/>
    </w:tbl>
    <w:p w:rsidR="002A6065" w:rsidRPr="002A6065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:rsidR="002A6065" w:rsidRDefault="002A606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</w:pPr>
    </w:p>
    <w:p w:rsidR="000C0B09" w:rsidRPr="00907699" w:rsidRDefault="00482815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 w:rsidRPr="00907699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Žádáme občany, aby při mobilním sběru nebezpečných složek komunálního odpadu volně neodkládal</w:t>
      </w:r>
      <w:r w:rsidR="000C0B09" w:rsidRPr="00907699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i odpady na stanovišti bez přítomnosti odborné obsluhy. Vyčkejte příjezdu soupravy zajišťující mobilní sběr nebezpečných odpadů.</w:t>
      </w:r>
    </w:p>
    <w:p w:rsidR="0071437D" w:rsidRDefault="000C0B09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  <w:r w:rsidRPr="00907699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>Volným odkládáním nebezpečných složek komunálního odpadu na k tomu neurčených a nezajištěných místech</w:t>
      </w:r>
      <w:r w:rsidR="00907699" w:rsidRPr="00907699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 xml:space="preserve"> nebo v jiných dnech, než je stanovené v harmonogramu, může být ohroženo nejen životní prostředí, ale i zdraví spoluobčanů.</w:t>
      </w:r>
      <w:r w:rsidRPr="00907699"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  <w:t xml:space="preserve"> </w:t>
      </w:r>
    </w:p>
    <w:p w:rsidR="00482815" w:rsidRPr="0071437D" w:rsidRDefault="0071437D" w:rsidP="00D01DEA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FF0000"/>
          <w:sz w:val="24"/>
          <w:szCs w:val="24"/>
          <w:lang w:eastAsia="cs-CZ"/>
        </w:rPr>
      </w:pPr>
      <w:r w:rsidRPr="0071437D">
        <w:rPr>
          <w:rFonts w:ascii="Arial" w:eastAsia="MS PGothic" w:hAnsi="Arial" w:cs="+mn-cs"/>
          <w:b/>
          <w:bCs/>
          <w:color w:val="FF0000"/>
          <w:sz w:val="24"/>
          <w:szCs w:val="24"/>
          <w:lang w:eastAsia="cs-CZ"/>
        </w:rPr>
        <w:t>Sběr není určen pro nebezpečný odpad, který vzniká z podnikatelských činností.</w:t>
      </w:r>
      <w:r w:rsidR="00482815" w:rsidRPr="0071437D">
        <w:rPr>
          <w:rFonts w:ascii="Arial" w:eastAsia="MS PGothic" w:hAnsi="Arial" w:cs="+mn-cs"/>
          <w:b/>
          <w:bCs/>
          <w:color w:val="FF0000"/>
          <w:sz w:val="24"/>
          <w:szCs w:val="24"/>
          <w:lang w:eastAsia="cs-CZ"/>
        </w:rPr>
        <w:t xml:space="preserve">  </w:t>
      </w:r>
    </w:p>
    <w:p w:rsidR="004C4F52" w:rsidRDefault="004C4F52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 </w:t>
      </w:r>
    </w:p>
    <w:p w:rsidR="00D16358" w:rsidRDefault="00D16358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Zpětné odběry dle jednotlivých skupin se nebudou</w:t>
      </w:r>
    </w:p>
    <w:p w:rsidR="00D01DEA" w:rsidRDefault="00D16358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při tomto svozu nebezpečných odpadů odebírat.</w:t>
      </w:r>
    </w:p>
    <w:p w:rsidR="00D16358" w:rsidRPr="00312B9E" w:rsidRDefault="00D16358" w:rsidP="00D01DEA">
      <w:pPr>
        <w:spacing w:before="96" w:after="0" w:line="240" w:lineRule="auto"/>
        <w:textAlignment w:val="baseline"/>
        <w:rPr>
          <w:rFonts w:ascii="Arial" w:eastAsia="Times New Roman" w:hAnsi="Arial" w:cs="Arial"/>
          <w:iCs/>
          <w:lang w:eastAsia="cs-CZ"/>
        </w:rPr>
      </w:pPr>
      <w:r w:rsidRPr="00312B9E">
        <w:rPr>
          <w:rFonts w:ascii="Arial" w:eastAsia="Times New Roman" w:hAnsi="Arial" w:cs="Arial"/>
          <w:iCs/>
          <w:lang w:eastAsia="cs-CZ"/>
        </w:rPr>
        <w:t xml:space="preserve">Jedná se </w:t>
      </w:r>
      <w:proofErr w:type="gramStart"/>
      <w:r w:rsidRPr="00312B9E">
        <w:rPr>
          <w:rFonts w:ascii="Arial" w:eastAsia="Times New Roman" w:hAnsi="Arial" w:cs="Arial"/>
          <w:iCs/>
          <w:lang w:eastAsia="cs-CZ"/>
        </w:rPr>
        <w:t>např</w:t>
      </w:r>
      <w:r w:rsidR="00312B9E">
        <w:rPr>
          <w:rFonts w:ascii="Arial" w:eastAsia="Times New Roman" w:hAnsi="Arial" w:cs="Arial"/>
          <w:iCs/>
          <w:lang w:eastAsia="cs-CZ"/>
        </w:rPr>
        <w:t>íklad</w:t>
      </w:r>
      <w:r w:rsidRPr="00312B9E">
        <w:rPr>
          <w:rFonts w:ascii="Arial" w:eastAsia="Times New Roman" w:hAnsi="Arial" w:cs="Arial"/>
          <w:iCs/>
          <w:lang w:eastAsia="cs-CZ"/>
        </w:rPr>
        <w:t xml:space="preserve"> o  televizory</w:t>
      </w:r>
      <w:proofErr w:type="gramEnd"/>
      <w:r w:rsidRPr="00312B9E">
        <w:rPr>
          <w:rFonts w:ascii="Arial" w:eastAsia="Times New Roman" w:hAnsi="Arial" w:cs="Arial"/>
          <w:iCs/>
          <w:lang w:eastAsia="cs-CZ"/>
        </w:rPr>
        <w:t>,</w:t>
      </w:r>
      <w:r w:rsidR="00AE3386" w:rsidRPr="00312B9E">
        <w:rPr>
          <w:rFonts w:ascii="Arial" w:eastAsia="Times New Roman" w:hAnsi="Arial" w:cs="Arial"/>
          <w:iCs/>
          <w:lang w:eastAsia="cs-CZ"/>
        </w:rPr>
        <w:t xml:space="preserve"> pračky, myčky nádobí, ledničky sušičky, mrazáky, </w:t>
      </w:r>
      <w:r w:rsidRPr="00312B9E">
        <w:rPr>
          <w:rFonts w:ascii="Arial" w:eastAsia="Times New Roman" w:hAnsi="Arial" w:cs="Arial"/>
          <w:iCs/>
          <w:lang w:eastAsia="cs-CZ"/>
        </w:rPr>
        <w:t xml:space="preserve"> rádia, vysavače, žehličky, fény, PC monitory, tiskárny, notebooky, ruční vrtačky, pily, pájky, brusky, drobné elektrické domácí spotřebiče</w:t>
      </w:r>
      <w:r w:rsidR="00AE3386" w:rsidRPr="00312B9E">
        <w:rPr>
          <w:rFonts w:ascii="Arial" w:eastAsia="Times New Roman" w:hAnsi="Arial" w:cs="Arial"/>
          <w:iCs/>
          <w:lang w:eastAsia="cs-CZ"/>
        </w:rPr>
        <w:t xml:space="preserve"> ……</w:t>
      </w:r>
    </w:p>
    <w:p w:rsidR="00AE3386" w:rsidRPr="00312B9E" w:rsidRDefault="00AE3386" w:rsidP="00D01DEA">
      <w:pPr>
        <w:spacing w:before="96" w:after="0" w:line="240" w:lineRule="auto"/>
        <w:textAlignment w:val="baseline"/>
        <w:rPr>
          <w:rFonts w:ascii="Arial" w:eastAsia="Times New Roman" w:hAnsi="Arial" w:cs="Arial"/>
          <w:iCs/>
          <w:lang w:eastAsia="cs-CZ"/>
        </w:rPr>
      </w:pPr>
      <w:r w:rsidRPr="00312B9E">
        <w:rPr>
          <w:rFonts w:ascii="Arial" w:eastAsia="Times New Roman" w:hAnsi="Arial" w:cs="Arial"/>
          <w:iCs/>
          <w:lang w:eastAsia="cs-CZ"/>
        </w:rPr>
        <w:t>Tyto jsou ukládány na sběrném dvoře v provozní dny.</w:t>
      </w:r>
    </w:p>
    <w:p w:rsidR="00AE3386" w:rsidRPr="00312B9E" w:rsidRDefault="00AE3386" w:rsidP="00D01DEA">
      <w:pPr>
        <w:spacing w:before="96" w:after="0" w:line="240" w:lineRule="auto"/>
        <w:textAlignment w:val="baseline"/>
        <w:rPr>
          <w:rFonts w:ascii="Arial" w:eastAsia="Times New Roman" w:hAnsi="Arial" w:cs="Arial"/>
          <w:iCs/>
          <w:u w:val="single"/>
          <w:lang w:eastAsia="cs-CZ"/>
        </w:rPr>
      </w:pPr>
      <w:r w:rsidRPr="00312B9E">
        <w:rPr>
          <w:rFonts w:ascii="Arial" w:eastAsia="Times New Roman" w:hAnsi="Arial" w:cs="Arial"/>
          <w:iCs/>
          <w:u w:val="single"/>
          <w:lang w:eastAsia="cs-CZ"/>
        </w:rPr>
        <w:t>Dělí se do dvou skupin.</w:t>
      </w:r>
    </w:p>
    <w:p w:rsidR="00AE3386" w:rsidRDefault="00312B9E" w:rsidP="00D01DEA">
      <w:pPr>
        <w:spacing w:before="96" w:after="0" w:line="240" w:lineRule="auto"/>
        <w:textAlignment w:val="baseline"/>
        <w:rPr>
          <w:rFonts w:ascii="Arial" w:eastAsia="Times New Roman" w:hAnsi="Arial" w:cs="Arial"/>
          <w:iCs/>
          <w:lang w:eastAsia="cs-CZ"/>
        </w:rPr>
      </w:pPr>
      <w:proofErr w:type="gramStart"/>
      <w:r>
        <w:rPr>
          <w:rFonts w:ascii="Arial" w:eastAsia="Times New Roman" w:hAnsi="Arial" w:cs="Arial"/>
          <w:iCs/>
          <w:lang w:eastAsia="cs-CZ"/>
        </w:rPr>
        <w:t>1.</w:t>
      </w:r>
      <w:r w:rsidRPr="00312B9E">
        <w:rPr>
          <w:rFonts w:ascii="Arial" w:eastAsia="Times New Roman" w:hAnsi="Arial" w:cs="Arial"/>
          <w:b/>
          <w:i/>
          <w:iCs/>
          <w:lang w:eastAsia="cs-CZ"/>
        </w:rPr>
        <w:t>Drobná</w:t>
      </w:r>
      <w:proofErr w:type="gramEnd"/>
      <w:r w:rsidRPr="00312B9E">
        <w:rPr>
          <w:rFonts w:ascii="Arial" w:eastAsia="Times New Roman" w:hAnsi="Arial" w:cs="Arial"/>
          <w:b/>
          <w:i/>
          <w:iCs/>
          <w:lang w:eastAsia="cs-CZ"/>
        </w:rPr>
        <w:t xml:space="preserve"> elektrozařízení</w:t>
      </w:r>
      <w:r w:rsidRPr="00312B9E">
        <w:rPr>
          <w:rFonts w:ascii="Arial" w:eastAsia="Times New Roman" w:hAnsi="Arial" w:cs="Arial"/>
          <w:iCs/>
          <w:lang w:eastAsia="cs-CZ"/>
        </w:rPr>
        <w:t xml:space="preserve"> , která jsou ukládána do klecového kontejneru na sběrném dvoře.</w:t>
      </w:r>
    </w:p>
    <w:p w:rsidR="00312B9E" w:rsidRPr="00312B9E" w:rsidRDefault="00312B9E" w:rsidP="00D01DEA">
      <w:pPr>
        <w:spacing w:before="96" w:after="0" w:line="240" w:lineRule="auto"/>
        <w:textAlignment w:val="baseline"/>
        <w:rPr>
          <w:rFonts w:ascii="Arial" w:eastAsia="Times New Roman" w:hAnsi="Arial" w:cs="Arial"/>
          <w:iCs/>
          <w:lang w:eastAsia="cs-CZ"/>
        </w:rPr>
      </w:pPr>
      <w:proofErr w:type="gramStart"/>
      <w:r>
        <w:rPr>
          <w:rFonts w:ascii="Arial" w:eastAsia="Times New Roman" w:hAnsi="Arial" w:cs="Arial"/>
          <w:iCs/>
          <w:lang w:eastAsia="cs-CZ"/>
        </w:rPr>
        <w:t>2.</w:t>
      </w:r>
      <w:r w:rsidRPr="00312B9E">
        <w:rPr>
          <w:rFonts w:ascii="Arial" w:eastAsia="Times New Roman" w:hAnsi="Arial" w:cs="Arial"/>
          <w:b/>
          <w:i/>
          <w:iCs/>
          <w:lang w:eastAsia="cs-CZ"/>
        </w:rPr>
        <w:t>Velká</w:t>
      </w:r>
      <w:proofErr w:type="gramEnd"/>
      <w:r w:rsidRPr="00312B9E">
        <w:rPr>
          <w:rFonts w:ascii="Arial" w:eastAsia="Times New Roman" w:hAnsi="Arial" w:cs="Arial"/>
          <w:b/>
          <w:i/>
          <w:iCs/>
          <w:lang w:eastAsia="cs-CZ"/>
        </w:rPr>
        <w:t xml:space="preserve"> elektrozařízení</w:t>
      </w:r>
      <w:r>
        <w:rPr>
          <w:rFonts w:ascii="Arial" w:eastAsia="Times New Roman" w:hAnsi="Arial" w:cs="Arial"/>
          <w:iCs/>
          <w:lang w:eastAsia="cs-CZ"/>
        </w:rPr>
        <w:t xml:space="preserve">, která se na sběrném dvoře odkládají celoročně v provozní dny podle instrukcí obsluhy. </w:t>
      </w:r>
      <w:r w:rsidRPr="00312B9E">
        <w:rPr>
          <w:rFonts w:ascii="Arial" w:eastAsia="Times New Roman" w:hAnsi="Arial" w:cs="Arial"/>
          <w:iCs/>
          <w:lang w:eastAsia="cs-CZ"/>
        </w:rPr>
        <w:t xml:space="preserve">Jedná se o </w:t>
      </w:r>
      <w:r w:rsidRPr="00312B9E">
        <w:rPr>
          <w:rFonts w:ascii="Arial" w:eastAsia="Times New Roman" w:hAnsi="Arial" w:cs="Arial"/>
          <w:color w:val="000000"/>
          <w:spacing w:val="8"/>
          <w:lang w:eastAsia="cs-CZ"/>
        </w:rPr>
        <w:t>pračky, televizory, ledničky, mrazničky, počítačové monitory, sušičky</w:t>
      </w:r>
      <w:r>
        <w:rPr>
          <w:rFonts w:ascii="Arial" w:eastAsia="Times New Roman" w:hAnsi="Arial" w:cs="Arial"/>
          <w:color w:val="000000"/>
          <w:spacing w:val="8"/>
          <w:lang w:eastAsia="cs-CZ"/>
        </w:rPr>
        <w:t xml:space="preserve"> apod. Maximální množství těchto elektrozařízení, které lze na sběrném dvoře odložit, je 15 kusů.</w:t>
      </w:r>
    </w:p>
    <w:p w:rsidR="00312B9E" w:rsidRDefault="00312B9E" w:rsidP="00D01DEA">
      <w:pPr>
        <w:spacing w:before="96" w:after="0" w:line="240" w:lineRule="auto"/>
        <w:textAlignment w:val="baseline"/>
        <w:rPr>
          <w:rFonts w:ascii="Arial" w:eastAsia="Times New Roman" w:hAnsi="Arial" w:cs="Arial"/>
          <w:iCs/>
          <w:sz w:val="18"/>
          <w:szCs w:val="18"/>
          <w:lang w:eastAsia="cs-CZ"/>
        </w:rPr>
      </w:pPr>
    </w:p>
    <w:p w:rsidR="00AE3386" w:rsidRDefault="00AE3386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1DEA" w:rsidRDefault="00D01DEA"/>
    <w:sectPr w:rsidR="00D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25"/>
    <w:rsid w:val="000C0B09"/>
    <w:rsid w:val="000F7B25"/>
    <w:rsid w:val="00121560"/>
    <w:rsid w:val="00263259"/>
    <w:rsid w:val="0027240D"/>
    <w:rsid w:val="002A6065"/>
    <w:rsid w:val="002F37EA"/>
    <w:rsid w:val="00312B9E"/>
    <w:rsid w:val="00351173"/>
    <w:rsid w:val="00371A6C"/>
    <w:rsid w:val="003E7099"/>
    <w:rsid w:val="0040489B"/>
    <w:rsid w:val="00482815"/>
    <w:rsid w:val="004C4F52"/>
    <w:rsid w:val="004D6CB2"/>
    <w:rsid w:val="00555D3B"/>
    <w:rsid w:val="006205FD"/>
    <w:rsid w:val="0071437D"/>
    <w:rsid w:val="00795568"/>
    <w:rsid w:val="008921E0"/>
    <w:rsid w:val="00907699"/>
    <w:rsid w:val="00994108"/>
    <w:rsid w:val="009C2683"/>
    <w:rsid w:val="00AE3386"/>
    <w:rsid w:val="00AF5C46"/>
    <w:rsid w:val="00BC444F"/>
    <w:rsid w:val="00BD5A0E"/>
    <w:rsid w:val="00C656CD"/>
    <w:rsid w:val="00D01DEA"/>
    <w:rsid w:val="00D16358"/>
    <w:rsid w:val="00EA735A"/>
    <w:rsid w:val="00EE4039"/>
    <w:rsid w:val="00E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Vejplachová Květoslava</dc:creator>
  <cp:lastModifiedBy>Starosta</cp:lastModifiedBy>
  <cp:revision>3</cp:revision>
  <cp:lastPrinted>2020-09-23T11:47:00Z</cp:lastPrinted>
  <dcterms:created xsi:type="dcterms:W3CDTF">2020-09-23T12:06:00Z</dcterms:created>
  <dcterms:modified xsi:type="dcterms:W3CDTF">2020-09-29T14:55:00Z</dcterms:modified>
</cp:coreProperties>
</file>